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FA" w:rsidRPr="001F0720" w:rsidRDefault="00247AFA">
      <w:pPr>
        <w:rPr>
          <w:szCs w:val="24"/>
        </w:rPr>
      </w:pPr>
    </w:p>
    <w:p w:rsidR="00247AFA" w:rsidRPr="002E5896" w:rsidRDefault="00247AFA" w:rsidP="00247AFA">
      <w:pPr>
        <w:spacing w:before="240" w:after="240" w:line="360" w:lineRule="auto"/>
        <w:jc w:val="right"/>
        <w:rPr>
          <w:rFonts w:ascii="Palatino Linotype" w:hAnsi="Palatino Linotype"/>
          <w:b/>
          <w:sz w:val="24"/>
          <w:szCs w:val="24"/>
        </w:rPr>
      </w:pPr>
      <w:r w:rsidRPr="002E5896">
        <w:rPr>
          <w:rFonts w:ascii="Palatino Linotype" w:hAnsi="Palatino Linotype"/>
          <w:b/>
          <w:sz w:val="24"/>
          <w:szCs w:val="24"/>
        </w:rPr>
        <w:t xml:space="preserve">Metepec, México, </w:t>
      </w:r>
      <w:r w:rsidR="001009B3">
        <w:rPr>
          <w:rFonts w:ascii="Palatino Linotype" w:hAnsi="Palatino Linotype"/>
          <w:b/>
          <w:sz w:val="24"/>
          <w:szCs w:val="24"/>
        </w:rPr>
        <w:t>Octubre 22</w:t>
      </w:r>
      <w:r w:rsidR="00C06F10">
        <w:rPr>
          <w:rFonts w:ascii="Palatino Linotype" w:hAnsi="Palatino Linotype"/>
          <w:b/>
          <w:sz w:val="24"/>
          <w:szCs w:val="24"/>
        </w:rPr>
        <w:t xml:space="preserve"> de 2018</w:t>
      </w:r>
    </w:p>
    <w:p w:rsidR="00365C9A" w:rsidRPr="002E5896" w:rsidRDefault="00365C9A" w:rsidP="00365C9A">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1009B3">
        <w:rPr>
          <w:rFonts w:ascii="Palatino Linotype" w:hAnsi="Palatino Linotype" w:cs="Arial"/>
          <w:b/>
          <w:bCs/>
          <w:sz w:val="24"/>
          <w:szCs w:val="24"/>
          <w:lang w:eastAsia="es-MX"/>
        </w:rPr>
        <w:t>02851</w:t>
      </w:r>
      <w:r w:rsidR="00676AA1" w:rsidRPr="005F1255">
        <w:rPr>
          <w:rFonts w:ascii="Palatino Linotype" w:hAnsi="Palatino Linotype" w:cs="Arial"/>
          <w:b/>
          <w:bCs/>
          <w:sz w:val="24"/>
          <w:szCs w:val="24"/>
          <w:lang w:eastAsia="es-MX"/>
        </w:rPr>
        <w:t>/INFOEM/IP/RR/2018</w:t>
      </w:r>
      <w:r w:rsidRPr="002E5896">
        <w:rPr>
          <w:rFonts w:ascii="Palatino Linotype" w:hAnsi="Palatino Linotype" w:cs="Arial"/>
          <w:bCs/>
          <w:sz w:val="24"/>
          <w:szCs w:val="24"/>
          <w:lang w:eastAsia="es-MX"/>
        </w:rPr>
        <w:t xml:space="preserve"> </w:t>
      </w:r>
      <w:r w:rsidR="005F1255">
        <w:rPr>
          <w:rFonts w:ascii="Palatino Linotype" w:hAnsi="Palatino Linotype"/>
          <w:sz w:val="24"/>
          <w:szCs w:val="24"/>
        </w:rPr>
        <w:t>presentada por el</w:t>
      </w:r>
      <w:r w:rsidRPr="002E5896">
        <w:rPr>
          <w:rFonts w:ascii="Palatino Linotype" w:hAnsi="Palatino Linotype"/>
          <w:sz w:val="24"/>
          <w:szCs w:val="24"/>
        </w:rPr>
        <w:t xml:space="preserve"> Comisi</w:t>
      </w:r>
      <w:r w:rsidR="005F1255">
        <w:rPr>
          <w:rFonts w:ascii="Palatino Linotype" w:hAnsi="Palatino Linotype"/>
          <w:sz w:val="24"/>
          <w:szCs w:val="24"/>
        </w:rPr>
        <w:t>onado</w:t>
      </w:r>
      <w:r w:rsidRPr="002E5896">
        <w:rPr>
          <w:rFonts w:ascii="Palatino Linotype" w:hAnsi="Palatino Linotype"/>
          <w:sz w:val="24"/>
          <w:szCs w:val="24"/>
        </w:rPr>
        <w:t xml:space="preserve"> </w:t>
      </w:r>
      <w:r w:rsidR="005F1255">
        <w:rPr>
          <w:rFonts w:ascii="Palatino Linotype" w:hAnsi="Palatino Linotype"/>
          <w:sz w:val="24"/>
          <w:szCs w:val="24"/>
        </w:rPr>
        <w:t>José Guadalupe Luna Hernández</w:t>
      </w:r>
      <w:r w:rsidRPr="002E5896">
        <w:rPr>
          <w:rFonts w:ascii="Palatino Linotype" w:hAnsi="Palatino Linotype"/>
          <w:sz w:val="24"/>
          <w:szCs w:val="24"/>
        </w:rPr>
        <w:t>, respecto d</w:t>
      </w:r>
      <w:r w:rsidR="001009B3">
        <w:rPr>
          <w:rFonts w:ascii="Palatino Linotype" w:hAnsi="Palatino Linotype"/>
          <w:sz w:val="24"/>
          <w:szCs w:val="24"/>
        </w:rPr>
        <w:t xml:space="preserve">e la cual, el suscrito, formula </w:t>
      </w:r>
      <w:r w:rsidR="001009B3" w:rsidRPr="001009B3">
        <w:rPr>
          <w:rFonts w:ascii="Palatino Linotype" w:hAnsi="Palatino Linotype"/>
          <w:b/>
          <w:sz w:val="24"/>
          <w:szCs w:val="24"/>
        </w:rPr>
        <w:t>OPINIÓN P</w:t>
      </w:r>
      <w:r w:rsidRPr="001009B3">
        <w:rPr>
          <w:rFonts w:ascii="Palatino Linotype" w:hAnsi="Palatino Linotype"/>
          <w:b/>
          <w:sz w:val="24"/>
          <w:szCs w:val="24"/>
        </w:rPr>
        <w:t>ARTICULAR</w:t>
      </w:r>
      <w:r w:rsidRPr="002E5896">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5F1255" w:rsidRPr="001009B3" w:rsidRDefault="00C20EEA" w:rsidP="001009B3">
      <w:pPr>
        <w:spacing w:before="240" w:after="240" w:line="360" w:lineRule="auto"/>
        <w:jc w:val="both"/>
        <w:rPr>
          <w:rFonts w:ascii="Palatino Linotype" w:eastAsia="Calibri" w:hAnsi="Palatino Linotype" w:cs="Arial"/>
          <w:i/>
          <w:color w:val="000000" w:themeColor="text1"/>
          <w:sz w:val="24"/>
          <w:szCs w:val="24"/>
          <w:lang w:val="es-ES_tradnl"/>
        </w:rPr>
      </w:pPr>
      <w:r w:rsidRPr="002E5896">
        <w:rPr>
          <w:rFonts w:ascii="Palatino Linotype" w:hAnsi="Palatino Linotype"/>
          <w:sz w:val="24"/>
          <w:szCs w:val="24"/>
        </w:rPr>
        <w:t>P</w:t>
      </w:r>
      <w:r w:rsidR="001009B3">
        <w:rPr>
          <w:rFonts w:ascii="Palatino Linotype" w:hAnsi="Palatino Linotype"/>
          <w:sz w:val="24"/>
          <w:szCs w:val="24"/>
        </w:rPr>
        <w:t>revia emisión de la presente opinión</w:t>
      </w:r>
      <w:r w:rsidR="00600BA3" w:rsidRPr="002E5896">
        <w:rPr>
          <w:rFonts w:ascii="Palatino Linotype" w:hAnsi="Palatino Linotype"/>
          <w:sz w:val="24"/>
          <w:szCs w:val="24"/>
        </w:rPr>
        <w:t>, cabe precisar que la materia en que radicó el recurso</w:t>
      </w:r>
      <w:r w:rsidR="00320195" w:rsidRPr="002E5896">
        <w:rPr>
          <w:rFonts w:ascii="Palatino Linotype" w:hAnsi="Palatino Linotype"/>
          <w:sz w:val="24"/>
          <w:szCs w:val="24"/>
        </w:rPr>
        <w:t xml:space="preserve"> de revisión, </w:t>
      </w:r>
      <w:r w:rsidR="00600BA3" w:rsidRPr="002E5896">
        <w:rPr>
          <w:rFonts w:ascii="Palatino Linotype" w:hAnsi="Palatino Linotype"/>
          <w:sz w:val="24"/>
          <w:szCs w:val="24"/>
        </w:rPr>
        <w:t>fue en que</w:t>
      </w:r>
      <w:r w:rsidR="005F1255">
        <w:rPr>
          <w:rFonts w:ascii="Palatino Linotype" w:hAnsi="Palatino Linotype"/>
          <w:sz w:val="24"/>
          <w:szCs w:val="24"/>
        </w:rPr>
        <w:t xml:space="preserve"> se proporcionara por parte de la Secretaría de Movilidad</w:t>
      </w:r>
      <w:r w:rsidR="00D6696F" w:rsidRPr="002E5896">
        <w:rPr>
          <w:rFonts w:ascii="Palatino Linotype" w:hAnsi="Palatino Linotype"/>
          <w:sz w:val="24"/>
          <w:szCs w:val="24"/>
        </w:rPr>
        <w:t xml:space="preserve"> lo siguiente</w:t>
      </w:r>
      <w:r w:rsidR="00600BA3" w:rsidRPr="002E5896">
        <w:rPr>
          <w:rFonts w:ascii="Palatino Linotype" w:hAnsi="Palatino Linotype"/>
          <w:sz w:val="24"/>
          <w:szCs w:val="24"/>
        </w:rPr>
        <w:t xml:space="preserve"> </w:t>
      </w:r>
      <w:r w:rsidR="001009B3" w:rsidRPr="001009B3">
        <w:rPr>
          <w:rFonts w:ascii="Palatino Linotype" w:hAnsi="Palatino Linotype"/>
          <w:i/>
          <w:sz w:val="24"/>
          <w:szCs w:val="24"/>
          <w:lang w:val="es-ES_tradnl"/>
        </w:rPr>
        <w:t xml:space="preserve">“Solicito el documento por el cual se nombra al Titular de la Unidad de Transparencia, el domicilio de la Unidad de Transparencia, el horario de labores y el documento consistente en la certificación en materia de acceso a la información, transparencia y protección de datos personales con el que debe contar el titular de la Unidad de Transparencia que señala el artículo 57 fracción I de Ley de Transparencia, Acceso a la Información Pública y Protección de Datos Personales del Estado de México y Municipios; su </w:t>
      </w:r>
      <w:proofErr w:type="spellStart"/>
      <w:r w:rsidR="001009B3" w:rsidRPr="001009B3">
        <w:rPr>
          <w:rFonts w:ascii="Palatino Linotype" w:hAnsi="Palatino Linotype"/>
          <w:i/>
          <w:sz w:val="24"/>
          <w:szCs w:val="24"/>
          <w:lang w:val="es-ES_tradnl"/>
        </w:rPr>
        <w:t>Curriculum</w:t>
      </w:r>
      <w:proofErr w:type="spellEnd"/>
      <w:r w:rsidR="001009B3" w:rsidRPr="001009B3">
        <w:rPr>
          <w:rFonts w:ascii="Palatino Linotype" w:hAnsi="Palatino Linotype"/>
          <w:i/>
          <w:sz w:val="24"/>
          <w:szCs w:val="24"/>
          <w:lang w:val="es-ES_tradnl"/>
        </w:rPr>
        <w:t xml:space="preserve"> Vitae en donde se enmarque su experiencia. Así mismo requiero todas las resoluciones en donde se haya clasificado información reservada o confidencial desde el año 2015 a la fecha de la solicitud.</w:t>
      </w:r>
      <w:r w:rsidR="001009B3" w:rsidRPr="001009B3">
        <w:rPr>
          <w:rFonts w:ascii="Palatino Linotype" w:hAnsi="Palatino Linotype"/>
          <w:i/>
          <w:sz w:val="24"/>
          <w:szCs w:val="24"/>
          <w:lang w:val="es-ES"/>
        </w:rPr>
        <w:t xml:space="preserve">” </w:t>
      </w:r>
      <w:r w:rsidR="001009B3">
        <w:rPr>
          <w:rFonts w:ascii="Palatino Linotype" w:hAnsi="Palatino Linotype"/>
          <w:i/>
          <w:sz w:val="24"/>
          <w:szCs w:val="24"/>
          <w:lang w:val="es-ES"/>
        </w:rPr>
        <w:t>(Sic)</w:t>
      </w:r>
      <w:r w:rsidR="005F1255">
        <w:rPr>
          <w:rFonts w:ascii="Palatino Linotype" w:hAnsi="Palatino Linotype"/>
          <w:i/>
          <w:sz w:val="24"/>
          <w:szCs w:val="24"/>
          <w:lang w:val="es-ES_tradnl"/>
        </w:rPr>
        <w:t>;</w:t>
      </w:r>
      <w:r w:rsidR="00600BA3" w:rsidRPr="002E5896">
        <w:rPr>
          <w:rFonts w:ascii="Palatino Linotype" w:eastAsia="Calibri" w:hAnsi="Palatino Linotype" w:cs="Arial"/>
          <w:color w:val="000000" w:themeColor="text1"/>
          <w:sz w:val="24"/>
          <w:szCs w:val="24"/>
          <w:lang w:val="es-ES"/>
        </w:rPr>
        <w:t xml:space="preserve"> </w:t>
      </w:r>
      <w:r w:rsidR="009D3E65" w:rsidRPr="002E5896">
        <w:rPr>
          <w:rFonts w:ascii="Palatino Linotype" w:eastAsia="Calibri" w:hAnsi="Palatino Linotype" w:cs="Arial"/>
          <w:color w:val="000000" w:themeColor="text1"/>
          <w:sz w:val="24"/>
          <w:szCs w:val="24"/>
          <w:lang w:val="es-ES"/>
        </w:rPr>
        <w:t xml:space="preserve">posteriormente el Sujeto Obligado </w:t>
      </w:r>
      <w:r w:rsidR="00BC44E5" w:rsidRPr="002E5896">
        <w:rPr>
          <w:rFonts w:ascii="Palatino Linotype" w:eastAsia="Calibri" w:hAnsi="Palatino Linotype" w:cs="Arial"/>
          <w:color w:val="000000" w:themeColor="text1"/>
          <w:sz w:val="24"/>
          <w:szCs w:val="24"/>
          <w:lang w:val="es-ES"/>
        </w:rPr>
        <w:t xml:space="preserve">envía como respuesta </w:t>
      </w:r>
      <w:r w:rsidR="005F1255">
        <w:rPr>
          <w:rFonts w:ascii="Palatino Linotype" w:eastAsia="Calibri" w:hAnsi="Palatino Linotype" w:cs="Arial"/>
          <w:color w:val="000000" w:themeColor="text1"/>
          <w:sz w:val="24"/>
          <w:szCs w:val="24"/>
          <w:lang w:val="es-ES"/>
        </w:rPr>
        <w:t xml:space="preserve">lo siguiente; </w:t>
      </w:r>
      <w:r w:rsidR="005F1255" w:rsidRPr="005F1255">
        <w:rPr>
          <w:rFonts w:ascii="Palatino Linotype" w:eastAsia="Calibri" w:hAnsi="Palatino Linotype" w:cs="Arial"/>
          <w:i/>
          <w:color w:val="000000" w:themeColor="text1"/>
          <w:sz w:val="24"/>
          <w:szCs w:val="24"/>
          <w:lang w:val="es-ES"/>
        </w:rPr>
        <w:t>“.</w:t>
      </w:r>
      <w:r w:rsidR="001009B3" w:rsidRPr="001009B3">
        <w:rPr>
          <w:rFonts w:ascii="Palatino Linotype" w:eastAsia="Calibri" w:hAnsi="Palatino Linotype" w:cs="Arial"/>
          <w:i/>
          <w:color w:val="000000" w:themeColor="text1"/>
          <w:sz w:val="24"/>
          <w:szCs w:val="24"/>
          <w:lang w:val="es-ES_tradnl"/>
        </w:rPr>
        <w:t xml:space="preserve">En respuesta a la solicitud recibida, nos permitimos hacer de su conocimiento que con fundamento en el artículo 53, Fracciones: II, V y VI de la Ley de </w:t>
      </w:r>
      <w:r w:rsidR="001009B3" w:rsidRPr="001009B3">
        <w:rPr>
          <w:rFonts w:ascii="Palatino Linotype" w:eastAsia="Calibri" w:hAnsi="Palatino Linotype" w:cs="Arial"/>
          <w:i/>
          <w:color w:val="000000" w:themeColor="text1"/>
          <w:sz w:val="24"/>
          <w:szCs w:val="24"/>
          <w:lang w:val="es-ES_tradnl"/>
        </w:rPr>
        <w:lastRenderedPageBreak/>
        <w:t xml:space="preserve">Transparencia y Acceso a la Información Pública del Estado de México y Municipios, le contestamos </w:t>
      </w:r>
      <w:proofErr w:type="spellStart"/>
      <w:r w:rsidR="001009B3" w:rsidRPr="001009B3">
        <w:rPr>
          <w:rFonts w:ascii="Palatino Linotype" w:eastAsia="Calibri" w:hAnsi="Palatino Linotype" w:cs="Arial"/>
          <w:i/>
          <w:color w:val="000000" w:themeColor="text1"/>
          <w:sz w:val="24"/>
          <w:szCs w:val="24"/>
          <w:lang w:val="es-ES_tradnl"/>
        </w:rPr>
        <w:t>que</w:t>
      </w:r>
      <w:proofErr w:type="gramStart"/>
      <w:r w:rsidR="001009B3" w:rsidRPr="001009B3">
        <w:rPr>
          <w:rFonts w:ascii="Palatino Linotype" w:eastAsia="Calibri" w:hAnsi="Palatino Linotype" w:cs="Arial"/>
          <w:i/>
          <w:color w:val="000000" w:themeColor="text1"/>
          <w:sz w:val="24"/>
          <w:szCs w:val="24"/>
          <w:lang w:val="es-ES_tradnl"/>
        </w:rPr>
        <w:t>:ANEXO</w:t>
      </w:r>
      <w:proofErr w:type="spellEnd"/>
      <w:proofErr w:type="gramEnd"/>
      <w:r w:rsidR="001009B3" w:rsidRPr="001009B3">
        <w:rPr>
          <w:rFonts w:ascii="Palatino Linotype" w:eastAsia="Calibri" w:hAnsi="Palatino Linotype" w:cs="Arial"/>
          <w:i/>
          <w:color w:val="000000" w:themeColor="text1"/>
          <w:sz w:val="24"/>
          <w:szCs w:val="24"/>
          <w:lang w:val="es-ES_tradnl"/>
        </w:rPr>
        <w:t xml:space="preserve"> RESPUESTA</w:t>
      </w:r>
      <w:r w:rsidR="005F1255" w:rsidRPr="005F1255">
        <w:rPr>
          <w:rFonts w:ascii="Palatino Linotype" w:eastAsia="Calibri" w:hAnsi="Palatino Linotype" w:cs="Arial"/>
          <w:i/>
          <w:color w:val="000000" w:themeColor="text1"/>
          <w:sz w:val="24"/>
          <w:szCs w:val="24"/>
          <w:lang w:val="es-ES"/>
        </w:rPr>
        <w:t>”</w:t>
      </w:r>
      <w:r w:rsidR="005F1255">
        <w:rPr>
          <w:rFonts w:ascii="Palatino Linotype" w:eastAsia="Calibri" w:hAnsi="Palatino Linotype" w:cs="Arial"/>
          <w:i/>
          <w:color w:val="000000" w:themeColor="text1"/>
          <w:sz w:val="24"/>
          <w:szCs w:val="24"/>
          <w:lang w:val="es-ES"/>
        </w:rPr>
        <w:t xml:space="preserve"> (sic.)</w:t>
      </w:r>
    </w:p>
    <w:p w:rsidR="001009B3" w:rsidRDefault="001009B3" w:rsidP="00600BA3">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Anexando documentos como currículum vitae, nombramiento de servidora pública y una carpeta que contiene resoluciones del comité de trasparencia.</w:t>
      </w:r>
    </w:p>
    <w:p w:rsidR="00515607" w:rsidRPr="002E5896" w:rsidRDefault="00F4125F" w:rsidP="00600BA3">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eastAsia="Calibri" w:hAnsi="Palatino Linotype" w:cs="Arial"/>
          <w:color w:val="000000" w:themeColor="text1"/>
          <w:sz w:val="24"/>
          <w:szCs w:val="24"/>
          <w:lang w:val="es-ES"/>
        </w:rPr>
        <w:t>Ahora, derivado de lo anterior la Ponencia que resolvió, determinó modificar la respuesta del Sujeto Obligado y ordenar lo siguiente:</w:t>
      </w:r>
    </w:p>
    <w:p w:rsidR="001009B3" w:rsidRPr="001009B3" w:rsidRDefault="00F4125F" w:rsidP="001009B3">
      <w:pPr>
        <w:spacing w:before="100" w:beforeAutospacing="1" w:after="100" w:afterAutospacing="1" w:line="240" w:lineRule="auto"/>
        <w:ind w:left="851" w:right="851"/>
        <w:jc w:val="both"/>
        <w:rPr>
          <w:rFonts w:ascii="Palatino Linotype" w:hAnsi="Palatino Linotype" w:cs="Arial"/>
          <w:bCs/>
          <w:i/>
          <w:color w:val="222222"/>
          <w:lang w:val="es-ES" w:eastAsia="es-MX"/>
        </w:rPr>
      </w:pPr>
      <w:r w:rsidRPr="002E71A8">
        <w:rPr>
          <w:rFonts w:ascii="Palatino Linotype" w:hAnsi="Palatino Linotype" w:cs="Arial"/>
          <w:bCs/>
          <w:i/>
          <w:color w:val="222222"/>
          <w:lang w:eastAsia="es-MX"/>
        </w:rPr>
        <w:t>“</w:t>
      </w:r>
      <w:r w:rsidR="001009B3" w:rsidRPr="001009B3">
        <w:rPr>
          <w:rFonts w:ascii="Palatino Linotype" w:hAnsi="Palatino Linotype" w:cs="Arial"/>
          <w:b/>
          <w:bCs/>
          <w:i/>
          <w:color w:val="222222"/>
          <w:lang w:val="es-ES" w:eastAsia="es-MX"/>
        </w:rPr>
        <w:t xml:space="preserve">SEGUNDO. </w:t>
      </w:r>
      <w:r w:rsidR="001009B3" w:rsidRPr="001009B3">
        <w:rPr>
          <w:rFonts w:ascii="Palatino Linotype" w:hAnsi="Palatino Linotype" w:cs="Arial"/>
          <w:bCs/>
          <w:i/>
          <w:color w:val="222222"/>
          <w:lang w:val="es-ES" w:eastAsia="es-MX"/>
        </w:rPr>
        <w:t xml:space="preserve">Se </w:t>
      </w:r>
      <w:r w:rsidR="001009B3" w:rsidRPr="001009B3">
        <w:rPr>
          <w:rFonts w:ascii="Palatino Linotype" w:hAnsi="Palatino Linotype" w:cs="Arial"/>
          <w:b/>
          <w:bCs/>
          <w:i/>
          <w:color w:val="222222"/>
          <w:lang w:val="es-ES" w:eastAsia="es-MX"/>
        </w:rPr>
        <w:t>MODIFICA</w:t>
      </w:r>
      <w:r w:rsidR="001009B3" w:rsidRPr="001009B3">
        <w:rPr>
          <w:rFonts w:ascii="Palatino Linotype" w:hAnsi="Palatino Linotype" w:cs="Arial"/>
          <w:bCs/>
          <w:i/>
          <w:color w:val="222222"/>
          <w:lang w:val="es-ES" w:eastAsia="es-MX"/>
        </w:rPr>
        <w:t xml:space="preserve"> la respuesta emitida por el </w:t>
      </w:r>
      <w:r w:rsidR="001009B3" w:rsidRPr="001009B3">
        <w:rPr>
          <w:rFonts w:ascii="Palatino Linotype" w:hAnsi="Palatino Linotype" w:cs="Arial"/>
          <w:b/>
          <w:bCs/>
          <w:i/>
          <w:color w:val="222222"/>
          <w:lang w:val="es-ES" w:eastAsia="es-MX"/>
        </w:rPr>
        <w:t xml:space="preserve">Ayuntamiento de </w:t>
      </w:r>
      <w:proofErr w:type="spellStart"/>
      <w:r w:rsidR="001009B3" w:rsidRPr="001009B3">
        <w:rPr>
          <w:rFonts w:ascii="Palatino Linotype" w:hAnsi="Palatino Linotype" w:cs="Arial"/>
          <w:b/>
          <w:bCs/>
          <w:i/>
          <w:color w:val="222222"/>
          <w:lang w:val="es-ES" w:eastAsia="es-MX"/>
        </w:rPr>
        <w:t>Temoaya</w:t>
      </w:r>
      <w:proofErr w:type="spellEnd"/>
      <w:r w:rsidR="001009B3" w:rsidRPr="001009B3">
        <w:rPr>
          <w:rFonts w:ascii="Palatino Linotype" w:hAnsi="Palatino Linotype" w:cs="Arial"/>
          <w:bCs/>
          <w:i/>
          <w:color w:val="222222"/>
          <w:lang w:val="es-ES" w:eastAsia="es-MX"/>
        </w:rPr>
        <w:t xml:space="preserve"> y se </w:t>
      </w:r>
      <w:r w:rsidR="001009B3" w:rsidRPr="001009B3">
        <w:rPr>
          <w:rFonts w:ascii="Palatino Linotype" w:hAnsi="Palatino Linotype" w:cs="Arial"/>
          <w:b/>
          <w:bCs/>
          <w:i/>
          <w:color w:val="222222"/>
          <w:lang w:val="es-ES" w:eastAsia="es-MX"/>
        </w:rPr>
        <w:t xml:space="preserve">ORDENA </w:t>
      </w:r>
      <w:r w:rsidR="001009B3" w:rsidRPr="001009B3">
        <w:rPr>
          <w:rFonts w:ascii="Palatino Linotype" w:hAnsi="Palatino Linotype" w:cs="Arial"/>
          <w:bCs/>
          <w:i/>
          <w:color w:val="222222"/>
          <w:lang w:val="es-ES" w:eastAsia="es-MX"/>
        </w:rPr>
        <w:t xml:space="preserve">entregar vía </w:t>
      </w:r>
      <w:r w:rsidR="001009B3" w:rsidRPr="001009B3">
        <w:rPr>
          <w:rFonts w:ascii="Palatino Linotype" w:hAnsi="Palatino Linotype" w:cs="Arial"/>
          <w:bCs/>
          <w:i/>
          <w:color w:val="222222"/>
          <w:lang w:val="es-ES_tradnl" w:eastAsia="es-MX"/>
        </w:rPr>
        <w:t>Sistema de Acceso a Información Mexiquense (SAIMEX</w:t>
      </w:r>
      <w:r w:rsidR="001009B3" w:rsidRPr="001009B3">
        <w:rPr>
          <w:rFonts w:ascii="Palatino Linotype" w:hAnsi="Palatino Linotype" w:cs="Arial"/>
          <w:b/>
          <w:bCs/>
          <w:i/>
          <w:color w:val="222222"/>
          <w:lang w:val="es-ES_tradnl" w:eastAsia="es-MX"/>
        </w:rPr>
        <w:t>)</w:t>
      </w:r>
      <w:r w:rsidR="001009B3" w:rsidRPr="001009B3">
        <w:rPr>
          <w:rFonts w:ascii="Palatino Linotype" w:hAnsi="Palatino Linotype" w:cs="Arial"/>
          <w:bCs/>
          <w:i/>
          <w:color w:val="222222"/>
          <w:lang w:val="es-ES" w:eastAsia="es-MX"/>
        </w:rPr>
        <w:t>, en versión pública, la siguiente información:</w:t>
      </w:r>
    </w:p>
    <w:p w:rsidR="001009B3" w:rsidRPr="001009B3" w:rsidRDefault="001009B3" w:rsidP="001009B3">
      <w:pPr>
        <w:numPr>
          <w:ilvl w:val="0"/>
          <w:numId w:val="6"/>
        </w:numPr>
        <w:spacing w:before="100" w:beforeAutospacing="1" w:after="100" w:afterAutospacing="1" w:line="240" w:lineRule="auto"/>
        <w:ind w:right="851"/>
        <w:jc w:val="both"/>
        <w:rPr>
          <w:rFonts w:ascii="Palatino Linotype" w:hAnsi="Palatino Linotype" w:cs="Arial"/>
          <w:b/>
          <w:bCs/>
          <w:i/>
          <w:color w:val="222222"/>
          <w:lang w:val="es-ES_tradnl" w:eastAsia="es-MX"/>
        </w:rPr>
      </w:pPr>
      <w:bookmarkStart w:id="0" w:name="_Toc461555896"/>
      <w:bookmarkStart w:id="1" w:name="_Toc462154385"/>
      <w:r w:rsidRPr="001009B3">
        <w:rPr>
          <w:rFonts w:ascii="Palatino Linotype" w:hAnsi="Palatino Linotype" w:cs="Arial"/>
          <w:b/>
          <w:bCs/>
          <w:i/>
          <w:color w:val="222222"/>
          <w:lang w:val="es-ES_tradnl" w:eastAsia="es-MX"/>
        </w:rPr>
        <w:t xml:space="preserve">Currículum vitae de la Titular de la Unidad de Transparencia; </w:t>
      </w:r>
    </w:p>
    <w:p w:rsidR="001009B3" w:rsidRPr="001009B3" w:rsidRDefault="001009B3" w:rsidP="001009B3">
      <w:pPr>
        <w:numPr>
          <w:ilvl w:val="0"/>
          <w:numId w:val="6"/>
        </w:numPr>
        <w:spacing w:before="100" w:beforeAutospacing="1" w:after="100" w:afterAutospacing="1" w:line="240" w:lineRule="auto"/>
        <w:ind w:right="851"/>
        <w:jc w:val="both"/>
        <w:rPr>
          <w:rFonts w:ascii="Palatino Linotype" w:hAnsi="Palatino Linotype" w:cs="Arial"/>
          <w:b/>
          <w:bCs/>
          <w:i/>
          <w:color w:val="222222"/>
          <w:lang w:val="es-ES_tradnl" w:eastAsia="es-MX"/>
        </w:rPr>
      </w:pPr>
      <w:r w:rsidRPr="001009B3">
        <w:rPr>
          <w:rFonts w:ascii="Palatino Linotype" w:hAnsi="Palatino Linotype" w:cs="Arial"/>
          <w:b/>
          <w:bCs/>
          <w:i/>
          <w:color w:val="222222"/>
          <w:lang w:val="es-ES_tradnl" w:eastAsia="es-MX"/>
        </w:rPr>
        <w:t>Las resoluciones faltantes del Comité de Transparencia en la que se hubiere determinado clasificar información como reservada o confidencial del uno (1) de enero de 2016 al</w:t>
      </w:r>
      <w:r w:rsidRPr="001009B3">
        <w:rPr>
          <w:rFonts w:ascii="Palatino Linotype" w:hAnsi="Palatino Linotype" w:cs="Arial"/>
          <w:bCs/>
          <w:i/>
          <w:color w:val="222222"/>
          <w:lang w:val="es-ES" w:eastAsia="es-MX"/>
        </w:rPr>
        <w:t xml:space="preserve"> </w:t>
      </w:r>
      <w:r w:rsidRPr="001009B3">
        <w:rPr>
          <w:rFonts w:ascii="Palatino Linotype" w:hAnsi="Palatino Linotype" w:cs="Arial"/>
          <w:b/>
          <w:bCs/>
          <w:i/>
          <w:color w:val="222222"/>
          <w:lang w:val="es-ES" w:eastAsia="es-MX"/>
        </w:rPr>
        <w:t>treinta y uno (31) de julio de dos mil dieciocho; y</w:t>
      </w:r>
    </w:p>
    <w:p w:rsidR="00F4125F" w:rsidRPr="001009B3" w:rsidRDefault="001009B3" w:rsidP="001009B3">
      <w:pPr>
        <w:numPr>
          <w:ilvl w:val="0"/>
          <w:numId w:val="6"/>
        </w:numPr>
        <w:spacing w:before="100" w:beforeAutospacing="1" w:after="100" w:afterAutospacing="1" w:line="240" w:lineRule="auto"/>
        <w:ind w:right="851"/>
        <w:jc w:val="both"/>
        <w:rPr>
          <w:rFonts w:ascii="Palatino Linotype" w:hAnsi="Palatino Linotype" w:cs="Arial"/>
          <w:b/>
          <w:bCs/>
          <w:i/>
          <w:color w:val="222222"/>
          <w:lang w:val="es-ES_tradnl" w:eastAsia="es-MX"/>
        </w:rPr>
      </w:pPr>
      <w:r w:rsidRPr="001009B3">
        <w:rPr>
          <w:rFonts w:ascii="Palatino Linotype" w:hAnsi="Palatino Linotype" w:cs="Arial"/>
          <w:b/>
          <w:bCs/>
          <w:i/>
          <w:color w:val="222222"/>
          <w:lang w:val="es-ES_tradnl" w:eastAsia="es-MX"/>
        </w:rPr>
        <w:t>Las resoluciones emitidas por el entonces Comité de Información en dos mil quince en las que se hubiere determinado clasificar la información como reservada o confidencial.</w:t>
      </w:r>
      <w:bookmarkEnd w:id="0"/>
      <w:bookmarkEnd w:id="1"/>
      <w:r w:rsidR="00F4125F" w:rsidRPr="001009B3">
        <w:rPr>
          <w:rFonts w:ascii="Palatino Linotype" w:eastAsiaTheme="minorEastAsia" w:hAnsi="Palatino Linotype" w:cs="Arial"/>
          <w:i/>
        </w:rPr>
        <w:t>”</w:t>
      </w:r>
    </w:p>
    <w:p w:rsidR="004E3E94" w:rsidRDefault="001009B3" w:rsidP="002E5896">
      <w:pPr>
        <w:spacing w:before="240" w:after="240" w:line="360" w:lineRule="auto"/>
        <w:jc w:val="both"/>
        <w:rPr>
          <w:rFonts w:ascii="Palatino Linotype" w:hAnsi="Palatino Linotype"/>
          <w:sz w:val="24"/>
          <w:szCs w:val="24"/>
        </w:rPr>
      </w:pPr>
      <w:r>
        <w:rPr>
          <w:rFonts w:ascii="Palatino Linotype" w:eastAsia="Calibri" w:hAnsi="Palatino Linotype" w:cs="Arial"/>
          <w:color w:val="000000" w:themeColor="text1"/>
          <w:sz w:val="24"/>
          <w:szCs w:val="24"/>
          <w:lang w:val="es-ES"/>
        </w:rPr>
        <w:t xml:space="preserve">De lo cual se desprende que la fotografía la cual </w:t>
      </w:r>
      <w:r w:rsidR="00F01BDD" w:rsidRPr="00C12077">
        <w:rPr>
          <w:rFonts w:ascii="Palatino Linotype" w:hAnsi="Palatino Linotype"/>
          <w:sz w:val="24"/>
          <w:szCs w:val="24"/>
        </w:rPr>
        <w:t xml:space="preserve">constituye un dato personal, más aun la Ponencia que resolvió considero procedente ordenar  en versión íntegra </w:t>
      </w:r>
      <w:r>
        <w:rPr>
          <w:rFonts w:ascii="Palatino Linotype" w:hAnsi="Palatino Linotype"/>
          <w:sz w:val="24"/>
          <w:szCs w:val="24"/>
        </w:rPr>
        <w:t>de la información.</w:t>
      </w:r>
    </w:p>
    <w:p w:rsidR="000B1348" w:rsidRDefault="000B1348" w:rsidP="002E58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Es oportuno señalar, que la imagen de una persona tiene la característica de dato </w:t>
      </w:r>
      <w:proofErr w:type="gramStart"/>
      <w:r>
        <w:rPr>
          <w:rFonts w:ascii="Palatino Linotype" w:hAnsi="Palatino Linotype"/>
          <w:sz w:val="24"/>
          <w:szCs w:val="24"/>
        </w:rPr>
        <w:t>personal</w:t>
      </w:r>
      <w:proofErr w:type="gramEnd"/>
      <w:r>
        <w:rPr>
          <w:rFonts w:ascii="Palatino Linotype" w:hAnsi="Palatino Linotype"/>
          <w:sz w:val="24"/>
          <w:szCs w:val="24"/>
        </w:rPr>
        <w:t xml:space="preserve"> que cumple con el extremo de la definición legal, ya que no hay otro dato que identifique con mayor claridad y precisión a una persona que la propia imagen relacionada con su nombre o con cualquier dato que la haga identificable.</w:t>
      </w:r>
    </w:p>
    <w:p w:rsidR="00C12077" w:rsidRDefault="000B1348" w:rsidP="002E5896">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En adición a lo anterior, </w:t>
      </w:r>
      <w:r w:rsidR="00C12077">
        <w:rPr>
          <w:rFonts w:ascii="Palatino Linotype" w:hAnsi="Palatino Linotype"/>
          <w:sz w:val="24"/>
          <w:szCs w:val="24"/>
        </w:rPr>
        <w:t>es importante mencionar, que los datos de servidores públicos</w:t>
      </w:r>
      <w:r w:rsidR="00CF41AE">
        <w:rPr>
          <w:rFonts w:ascii="Palatino Linotype" w:hAnsi="Palatino Linotype"/>
          <w:sz w:val="24"/>
          <w:szCs w:val="24"/>
        </w:rPr>
        <w:t xml:space="preserve"> que obran en</w:t>
      </w:r>
      <w:r w:rsidR="00C12077">
        <w:rPr>
          <w:rFonts w:ascii="Palatino Linotype" w:hAnsi="Palatino Linotype"/>
          <w:sz w:val="24"/>
          <w:szCs w:val="24"/>
        </w:rPr>
        <w:t xml:space="preserve"> documentos</w:t>
      </w:r>
      <w:r w:rsidR="00CF41AE">
        <w:rPr>
          <w:rFonts w:ascii="Palatino Linotype" w:hAnsi="Palatino Linotype"/>
          <w:sz w:val="24"/>
          <w:szCs w:val="24"/>
        </w:rPr>
        <w:t xml:space="preserve"> personales</w:t>
      </w:r>
      <w:r w:rsidR="00C12077">
        <w:rPr>
          <w:rFonts w:ascii="Palatino Linotype" w:hAnsi="Palatino Linotype"/>
          <w:sz w:val="24"/>
          <w:szCs w:val="24"/>
        </w:rPr>
        <w:t xml:space="preserve">, deben clasificarse con carácter de confidencial y ser parte de aquellos </w:t>
      </w:r>
      <w:r w:rsidR="00CF41AE">
        <w:rPr>
          <w:rFonts w:ascii="Palatino Linotype" w:hAnsi="Palatino Linotype"/>
          <w:sz w:val="24"/>
          <w:szCs w:val="24"/>
        </w:rPr>
        <w:t xml:space="preserve">que se encuentran </w:t>
      </w:r>
      <w:r w:rsidR="00C12077">
        <w:rPr>
          <w:rFonts w:ascii="Palatino Linotype" w:hAnsi="Palatino Linotype"/>
          <w:sz w:val="24"/>
          <w:szCs w:val="24"/>
        </w:rPr>
        <w:t>testados en una versión pública, ya que son aspectos propios de la vida privada que no se relacionan con el ejercicio de sus atribuciones, funciones o responsabilidades</w:t>
      </w:r>
      <w:r w:rsidR="006F1764">
        <w:rPr>
          <w:rFonts w:ascii="Palatino Linotype" w:hAnsi="Palatino Linotype"/>
          <w:sz w:val="24"/>
          <w:szCs w:val="24"/>
        </w:rPr>
        <w:t>.</w:t>
      </w:r>
      <w:r w:rsidR="006F1764" w:rsidRPr="006F1764">
        <w:rPr>
          <w:rStyle w:val="Refdenotaalpie"/>
          <w:rFonts w:ascii="Palatino Linotype" w:eastAsia="Calibri" w:hAnsi="Palatino Linotype" w:cs="Arial"/>
          <w:color w:val="000000" w:themeColor="text1"/>
          <w:sz w:val="24"/>
          <w:szCs w:val="24"/>
          <w:lang w:val="es-ES"/>
        </w:rPr>
        <w:t xml:space="preserve"> </w:t>
      </w:r>
      <w:r w:rsidR="006F1764">
        <w:rPr>
          <w:rStyle w:val="Refdenotaalpie"/>
          <w:rFonts w:ascii="Palatino Linotype" w:eastAsia="Calibri" w:hAnsi="Palatino Linotype" w:cs="Arial"/>
          <w:color w:val="000000" w:themeColor="text1"/>
          <w:sz w:val="24"/>
          <w:szCs w:val="24"/>
          <w:lang w:val="es-ES"/>
        </w:rPr>
        <w:footnoteReference w:id="1"/>
      </w:r>
    </w:p>
    <w:p w:rsidR="006F1764" w:rsidRDefault="006F1764"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Abona a lo anterior, los argumentos vertidos en la resolución emitida por la Corte Interamericana de Derechos Humanos de fecha 29 de noviembre de 2011 en el caso </w:t>
      </w:r>
      <w:r w:rsidRPr="006F1764">
        <w:rPr>
          <w:rFonts w:ascii="Palatino Linotype" w:hAnsi="Palatino Linotype" w:cs="Bookman Old Style"/>
          <w:i/>
          <w:sz w:val="24"/>
          <w:szCs w:val="24"/>
        </w:rPr>
        <w:t>“</w:t>
      </w:r>
      <w:proofErr w:type="spellStart"/>
      <w:r w:rsidRPr="006F1764">
        <w:rPr>
          <w:rFonts w:ascii="Palatino Linotype" w:hAnsi="Palatino Linotype" w:cs="Bookman Old Style"/>
          <w:i/>
          <w:sz w:val="24"/>
          <w:szCs w:val="24"/>
        </w:rPr>
        <w:t>Fontevecchia</w:t>
      </w:r>
      <w:proofErr w:type="spellEnd"/>
      <w:r w:rsidRPr="006F1764">
        <w:rPr>
          <w:rFonts w:ascii="Palatino Linotype" w:hAnsi="Palatino Linotype" w:cs="Bookman Old Style"/>
          <w:i/>
          <w:sz w:val="24"/>
          <w:szCs w:val="24"/>
        </w:rPr>
        <w:t xml:space="preserve"> y </w:t>
      </w:r>
      <w:proofErr w:type="spellStart"/>
      <w:r w:rsidRPr="006F1764">
        <w:rPr>
          <w:rFonts w:ascii="Palatino Linotype" w:hAnsi="Palatino Linotype" w:cs="Bookman Old Style"/>
          <w:i/>
          <w:sz w:val="24"/>
          <w:szCs w:val="24"/>
        </w:rPr>
        <w:t>D’Amico</w:t>
      </w:r>
      <w:proofErr w:type="spellEnd"/>
      <w:r w:rsidRPr="006F1764">
        <w:rPr>
          <w:rFonts w:ascii="Palatino Linotype" w:hAnsi="Palatino Linotype" w:cs="Bookman Old Style"/>
          <w:i/>
          <w:sz w:val="24"/>
          <w:szCs w:val="24"/>
        </w:rPr>
        <w:t>”</w:t>
      </w:r>
      <w:r>
        <w:rPr>
          <w:rFonts w:ascii="Palatino Linotype" w:hAnsi="Palatino Linotype" w:cs="Bookman Old Style"/>
          <w:sz w:val="24"/>
          <w:szCs w:val="24"/>
        </w:rPr>
        <w:t>, de la cual se rescatan los siguientes:</w:t>
      </w:r>
    </w:p>
    <w:p w:rsidR="006F1764" w:rsidRPr="00DA7071" w:rsidRDefault="006F1764"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Si bien, se establece que el derecho a la propia imagen no se encuentra expresamente enunciado en la Convención, las imágenes o fotografías personales, evidentemente, están incluidas</w:t>
      </w:r>
      <w:r w:rsidR="00DA7071" w:rsidRPr="00DA7071">
        <w:rPr>
          <w:rFonts w:ascii="Palatino Linotype" w:hAnsi="Palatino Linotype" w:cs="Bookman Old Style"/>
          <w:i/>
          <w:sz w:val="24"/>
          <w:szCs w:val="24"/>
        </w:rPr>
        <w:t xml:space="preserve"> dentro del ámbito</w:t>
      </w:r>
      <w:r w:rsidRPr="00DA7071">
        <w:rPr>
          <w:rFonts w:ascii="Palatino Linotype" w:hAnsi="Palatino Linotype" w:cs="Bookman Old Style"/>
          <w:i/>
          <w:sz w:val="24"/>
          <w:szCs w:val="24"/>
        </w:rPr>
        <w:t xml:space="preserve"> de protección de la vida privada.</w:t>
      </w:r>
    </w:p>
    <w:p w:rsidR="00DA7071" w:rsidRPr="00DA7071" w:rsidRDefault="00DA7071"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 xml:space="preserve">La fotografía no solo tiene el valor de respaldar o dar credibilidad a informaciones brindadas por medio de la escritura, sino que tiene en sí misma un importante contenido y valor expresivo, comunicativo e informativo; de hecho, en algunos casos, las imágenes pueden comunicar o informar con igual o mayor impacto que la palabra escrita. </w:t>
      </w:r>
    </w:p>
    <w:p w:rsidR="006F1764" w:rsidRPr="00DA7071" w:rsidRDefault="00DA7071"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 xml:space="preserve">Por ello, su protección cobra importancia en tiempos donde los medios de comunicación audiovisual predominan. Sin embargo, por esa misma razón y por el </w:t>
      </w:r>
      <w:r w:rsidRPr="00DA7071">
        <w:rPr>
          <w:rFonts w:ascii="Palatino Linotype" w:hAnsi="Palatino Linotype" w:cs="Bookman Old Style"/>
          <w:i/>
          <w:sz w:val="24"/>
          <w:szCs w:val="24"/>
        </w:rPr>
        <w:lastRenderedPageBreak/>
        <w:t>contenido de información personal e íntima que pueden tener las imágenes, su potencial para afectar la vida privada de una persona es muy alto.</w:t>
      </w:r>
    </w:p>
    <w:p w:rsidR="00DA7071" w:rsidRDefault="00DA7071"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De los argumentos plasmados, se advierte que si bien la imagen o fotografías de las personas no es un aspecto que esté expresamente protegido por las Convención Internacional, y que derivado del entorno general que se vive, la misma globalización y el intercambio de información por diversos medios, hace que en algunos documentos para dar mayor certidumbre se tenga que cotejar con una fotografía, lo cierto es que como ya se ha planteado </w:t>
      </w:r>
      <w:r w:rsidR="00205EAE">
        <w:rPr>
          <w:rFonts w:ascii="Palatino Linotype" w:hAnsi="Palatino Linotype" w:cs="Bookman Old Style"/>
          <w:sz w:val="24"/>
          <w:szCs w:val="24"/>
        </w:rPr>
        <w:t>el punto toral del presente asunto, se habla de un servidor público en donde las obligaciones de trasparencia se encentran expresas y delimitadas en las leyes aplicables, no se considera que la reproducción de su imagen lo sea, ya que antes de ser servidor público, es una persona con una esfera de derechos privados, de la cual se puede afectar de manera exponencial si se difunde su imagen, que conlleva rasgos físicos.</w:t>
      </w:r>
    </w:p>
    <w:p w:rsidR="008C096B" w:rsidRDefault="008C096B"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En ese tenor de ideas, es importante mencionar que el derecho a la imagen debe entenderse como parte del derecho a la intimida</w:t>
      </w:r>
      <w:r w:rsidR="00D7719B">
        <w:rPr>
          <w:rFonts w:ascii="Palatino Linotype" w:hAnsi="Palatino Linotype" w:cs="Bookman Old Style"/>
          <w:sz w:val="24"/>
          <w:szCs w:val="24"/>
        </w:rPr>
        <w:t xml:space="preserve">d, y es importante que la persona de su consentimiento, ya que al entregar dicha información, no se sabe el destino de esta, sirve de sustento la Tesis </w:t>
      </w:r>
      <w:r w:rsidR="00D7719B" w:rsidRPr="00D7719B">
        <w:rPr>
          <w:rFonts w:ascii="Palatino Linotype" w:hAnsi="Palatino Linotype" w:cs="Bookman Old Style"/>
          <w:sz w:val="24"/>
          <w:szCs w:val="24"/>
        </w:rPr>
        <w:t>2a. XXV/2016 (10a.), Registro: 2011892</w:t>
      </w:r>
      <w:r w:rsidR="00D7719B">
        <w:rPr>
          <w:rFonts w:ascii="Palatino Linotype" w:hAnsi="Palatino Linotype" w:cs="Bookman Old Style"/>
          <w:sz w:val="24"/>
          <w:szCs w:val="24"/>
        </w:rPr>
        <w:t>, emitida por la Suprema Corte de Justicia de la Nación que dice lo siguiente:</w:t>
      </w:r>
    </w:p>
    <w:p w:rsidR="00D7719B" w:rsidRPr="00D7719B" w:rsidRDefault="00D7719B" w:rsidP="00D7719B">
      <w:pPr>
        <w:spacing w:before="100" w:beforeAutospacing="1" w:after="100" w:afterAutospacing="1" w:line="240" w:lineRule="auto"/>
        <w:ind w:left="851" w:right="851"/>
        <w:jc w:val="both"/>
        <w:rPr>
          <w:rFonts w:ascii="Palatino Linotype" w:hAnsi="Palatino Linotype" w:cs="Bookman Old Style"/>
          <w:b/>
          <w:i/>
          <w:szCs w:val="24"/>
        </w:rPr>
      </w:pPr>
      <w:r>
        <w:rPr>
          <w:rFonts w:ascii="Palatino Linotype" w:hAnsi="Palatino Linotype" w:cs="Bookman Old Style"/>
          <w:b/>
          <w:i/>
          <w:szCs w:val="24"/>
        </w:rPr>
        <w:t>“</w:t>
      </w:r>
      <w:r w:rsidRPr="00D7719B">
        <w:rPr>
          <w:rFonts w:ascii="Palatino Linotype" w:hAnsi="Palatino Linotype" w:cs="Bookman Old Style"/>
          <w:b/>
          <w:i/>
          <w:szCs w:val="24"/>
        </w:rPr>
        <w:t>DERECHO A LA IMAGEN. SU CONCEPTO DE ACUERDO A LA LEY FEDERAL DEL DERECHO DE AUTOR.</w:t>
      </w:r>
    </w:p>
    <w:p w:rsidR="00D7719B" w:rsidRPr="00D7719B" w:rsidRDefault="00D7719B" w:rsidP="00D7719B">
      <w:pPr>
        <w:spacing w:before="100" w:beforeAutospacing="1" w:after="100" w:afterAutospacing="1" w:line="240" w:lineRule="auto"/>
        <w:ind w:left="851" w:right="851"/>
        <w:jc w:val="both"/>
        <w:rPr>
          <w:rFonts w:ascii="Palatino Linotype" w:hAnsi="Palatino Linotype" w:cs="Bookman Old Style"/>
          <w:i/>
          <w:szCs w:val="24"/>
        </w:rPr>
      </w:pPr>
      <w:r w:rsidRPr="00D7719B">
        <w:rPr>
          <w:rFonts w:ascii="Palatino Linotype" w:hAnsi="Palatino Linotype" w:cs="Bookman Old Style"/>
          <w:i/>
          <w:szCs w:val="24"/>
        </w:rPr>
        <w:t xml:space="preserve">El derecho a la imagen debe entenderse como parte del derecho a la identidad, y como un derecho personalísimo que tiene todo individuo de decidir cómo se </w:t>
      </w:r>
      <w:r w:rsidRPr="00D7719B">
        <w:rPr>
          <w:rFonts w:ascii="Palatino Linotype" w:hAnsi="Palatino Linotype" w:cs="Bookman Old Style"/>
          <w:i/>
          <w:szCs w:val="24"/>
        </w:rPr>
        <w:lastRenderedPageBreak/>
        <w:t>muestra a los demás, esto es, la potestad de disponer en el ámbito de su propia autoridad y en forma libre sobre su propia imagen. En ese orden de ideas, el concepto de derecho a la imagen previsto en el artículo 231, fracción II, de la Ley Federal del Derecho de Autor, se instauró como una limitante que tiene el autor de una obra fotográfica, en el sentido de que podrá comercializar con ella siempre y cuando la persona que aparezca en ésta otorgue su consentimiento para ello.</w:t>
      </w:r>
      <w:r>
        <w:rPr>
          <w:rFonts w:ascii="Palatino Linotype" w:hAnsi="Palatino Linotype" w:cs="Bookman Old Style"/>
          <w:i/>
          <w:szCs w:val="24"/>
        </w:rPr>
        <w:t>”</w:t>
      </w:r>
    </w:p>
    <w:p w:rsidR="00205EAE" w:rsidRDefault="00205EAE"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Cabe aclarar que cuando se trata de un servidor o funcionario público, en donde su imagen, derivado de su responsabilidad y encargo, es </w:t>
      </w:r>
      <w:r w:rsidRPr="00205EAE">
        <w:rPr>
          <w:rFonts w:ascii="Palatino Linotype" w:hAnsi="Palatino Linotype" w:cs="Bookman Old Style"/>
          <w:i/>
          <w:sz w:val="24"/>
          <w:szCs w:val="24"/>
        </w:rPr>
        <w:t>per se</w:t>
      </w:r>
      <w:r>
        <w:rPr>
          <w:rFonts w:ascii="Palatino Linotype" w:hAnsi="Palatino Linotype" w:cs="Bookman Old Style"/>
          <w:sz w:val="24"/>
          <w:szCs w:val="24"/>
        </w:rPr>
        <w:t xml:space="preserve"> pública, no se considera un daño ya que el contexto en el que se desempeña es distinto, no así cuando se habla de un servidor público que ostenta un rango menor.</w:t>
      </w:r>
    </w:p>
    <w:p w:rsidR="004E3E94" w:rsidRPr="004E3E94" w:rsidRDefault="004E3E94" w:rsidP="00BF0F61">
      <w:pPr>
        <w:spacing w:before="100" w:beforeAutospacing="1" w:after="100" w:afterAutospacing="1" w:line="360" w:lineRule="auto"/>
        <w:jc w:val="both"/>
        <w:rPr>
          <w:rFonts w:ascii="Palatino Linotype" w:hAnsi="Palatino Linotype" w:cs="Bookman Old Style"/>
          <w:sz w:val="24"/>
          <w:szCs w:val="24"/>
        </w:rPr>
      </w:pPr>
      <w:r w:rsidRPr="004E3E94">
        <w:rPr>
          <w:rFonts w:ascii="Palatino Linotype" w:hAnsi="Palatino Linotype" w:cs="Bookman Old Style"/>
          <w:sz w:val="24"/>
          <w:szCs w:val="24"/>
        </w:rPr>
        <w:t>Es por ello que</w:t>
      </w:r>
      <w:r w:rsidR="00F01BDD">
        <w:rPr>
          <w:rFonts w:ascii="Palatino Linotype" w:hAnsi="Palatino Linotype" w:cs="Bookman Old Style"/>
          <w:sz w:val="24"/>
          <w:szCs w:val="24"/>
        </w:rPr>
        <w:t>,</w:t>
      </w:r>
      <w:r w:rsidRPr="004E3E94">
        <w:rPr>
          <w:rFonts w:ascii="Palatino Linotype" w:hAnsi="Palatino Linotype" w:cs="Bookman Old Style"/>
          <w:sz w:val="24"/>
          <w:szCs w:val="24"/>
        </w:rPr>
        <w:t xml:space="preserve"> el que suscribe a sostenido reiteradamente que la fotografía aún y cuando se encuentre en un documento de identificación de un servidor público</w:t>
      </w:r>
      <w:r>
        <w:rPr>
          <w:rFonts w:ascii="Palatino Linotype" w:hAnsi="Palatino Linotype" w:cs="Bookman Old Style"/>
          <w:sz w:val="24"/>
          <w:szCs w:val="24"/>
        </w:rPr>
        <w:t>, es un dato confidencial</w:t>
      </w:r>
      <w:r w:rsidRPr="004E3E94">
        <w:rPr>
          <w:rFonts w:ascii="Palatino Linotype" w:hAnsi="Palatino Linotype" w:cs="Bookman Old Style"/>
          <w:sz w:val="24"/>
          <w:szCs w:val="24"/>
        </w:rPr>
        <w:t>, lo anterior es evidente en atención a que hace identificable a la persona, por lo que son  susceptibles de ser testados con el objeto de protegerlos, en términos del artículo 4 fracción XI de la Ley de Protección de Datos Personales en Posesión de Sujetos Obligados del Estado de México y Municipios que contiene lo siguiente:</w:t>
      </w:r>
    </w:p>
    <w:p w:rsidR="004E3E94" w:rsidRPr="001F0720" w:rsidRDefault="004E3E94" w:rsidP="004E3E94">
      <w:pPr>
        <w:spacing w:after="0" w:line="360" w:lineRule="auto"/>
        <w:ind w:left="851" w:right="990"/>
        <w:jc w:val="both"/>
        <w:rPr>
          <w:rFonts w:ascii="Palatino Linotype" w:hAnsi="Palatino Linotype" w:cs="Bookman Old Style"/>
          <w:i/>
          <w:sz w:val="20"/>
        </w:rPr>
      </w:pPr>
      <w:r w:rsidRPr="001F0720">
        <w:rPr>
          <w:rFonts w:ascii="Palatino Linotype" w:hAnsi="Palatino Linotype" w:cs="Bookman Old Style"/>
          <w:b/>
          <w:i/>
          <w:sz w:val="20"/>
        </w:rPr>
        <w:t>“Artículo 4</w:t>
      </w:r>
      <w:r w:rsidRPr="001F0720">
        <w:rPr>
          <w:rFonts w:ascii="Palatino Linotype" w:hAnsi="Palatino Linotype" w:cs="Bookman Old Style"/>
          <w:i/>
          <w:sz w:val="20"/>
        </w:rPr>
        <w:t xml:space="preserve">.- Para los efectos de esta Ley se entiende por: </w:t>
      </w:r>
    </w:p>
    <w:p w:rsidR="004E3E94" w:rsidRPr="001F0720" w:rsidRDefault="004E3E94" w:rsidP="004E3E94">
      <w:pPr>
        <w:spacing w:after="0" w:line="360" w:lineRule="auto"/>
        <w:ind w:left="851" w:right="990"/>
        <w:jc w:val="both"/>
        <w:rPr>
          <w:rFonts w:ascii="Palatino Linotype" w:hAnsi="Palatino Linotype" w:cs="Bookman Old Style"/>
          <w:i/>
          <w:sz w:val="20"/>
        </w:rPr>
      </w:pPr>
      <w:r w:rsidRPr="001F0720">
        <w:rPr>
          <w:rFonts w:ascii="Palatino Linotype" w:hAnsi="Palatino Linotype" w:cs="Bookman Old Style"/>
          <w:i/>
          <w:sz w:val="20"/>
        </w:rPr>
        <w:t>(…)</w:t>
      </w:r>
    </w:p>
    <w:p w:rsidR="004E3E94" w:rsidRPr="004E3E94" w:rsidRDefault="004E3E94" w:rsidP="004E3E94">
      <w:pPr>
        <w:spacing w:after="0" w:line="360" w:lineRule="auto"/>
        <w:ind w:left="851" w:right="990"/>
        <w:jc w:val="both"/>
        <w:rPr>
          <w:rFonts w:ascii="Palatino Linotype" w:hAnsi="Palatino Linotype" w:cs="Bookman Old Style"/>
          <w:b/>
          <w:i/>
          <w:sz w:val="20"/>
        </w:rPr>
      </w:pPr>
      <w:r w:rsidRPr="001F0720">
        <w:rPr>
          <w:rFonts w:ascii="Palatino Linotype" w:hAnsi="Palatino Linotype" w:cs="Bookman Old Style"/>
          <w:b/>
          <w:i/>
          <w:sz w:val="20"/>
        </w:rPr>
        <w:t xml:space="preserve">XI. Datos personales: </w:t>
      </w:r>
      <w:r w:rsidRPr="001F0720">
        <w:rPr>
          <w:rFonts w:ascii="Palatino Linotype" w:hAnsi="Palatino Linotype" w:cs="Bookman Old Style"/>
          <w:i/>
          <w:sz w:val="20"/>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1F0720">
        <w:rPr>
          <w:rFonts w:ascii="Palatino Linotype" w:hAnsi="Palatino Linotype" w:cs="Bookman Old Style"/>
          <w:b/>
          <w:i/>
          <w:sz w:val="20"/>
        </w:rPr>
        <w:t xml:space="preserve"> </w:t>
      </w:r>
      <w:r w:rsidRPr="001F0720">
        <w:rPr>
          <w:rFonts w:ascii="Palatino Linotype" w:hAnsi="Palatino Linotype" w:cs="Bookman Old Style"/>
          <w:i/>
          <w:sz w:val="20"/>
        </w:rPr>
        <w:t>(…)“</w:t>
      </w:r>
    </w:p>
    <w:p w:rsidR="008633C2" w:rsidRDefault="004E3E94" w:rsidP="004E3E94">
      <w:pPr>
        <w:spacing w:before="100" w:beforeAutospacing="1" w:after="100" w:afterAutospacing="1" w:line="360" w:lineRule="auto"/>
        <w:ind w:right="-3"/>
        <w:jc w:val="both"/>
        <w:rPr>
          <w:rFonts w:ascii="Palatino Linotype" w:eastAsia="Calibri" w:hAnsi="Palatino Linotype" w:cs="Arial"/>
          <w:color w:val="000000" w:themeColor="text1"/>
          <w:sz w:val="24"/>
          <w:szCs w:val="24"/>
          <w:lang w:val="es-ES"/>
        </w:rPr>
      </w:pPr>
      <w:r>
        <w:rPr>
          <w:rFonts w:ascii="Palatino Linotype" w:eastAsia="Times New Roman" w:hAnsi="Palatino Linotype" w:cs="Arial"/>
          <w:sz w:val="24"/>
          <w:szCs w:val="24"/>
          <w:lang w:val="es-ES" w:eastAsia="es-ES"/>
        </w:rPr>
        <w:lastRenderedPageBreak/>
        <w:t xml:space="preserve">En efecto, la fotografía, </w:t>
      </w:r>
      <w:r w:rsidRPr="004E3E94">
        <w:rPr>
          <w:rFonts w:ascii="Palatino Linotype" w:eastAsia="Times New Roman" w:hAnsi="Palatino Linotype" w:cs="Arial"/>
          <w:sz w:val="24"/>
          <w:szCs w:val="24"/>
          <w:lang w:val="es-ES" w:eastAsia="es-ES"/>
        </w:rPr>
        <w:t>es susceptible de ser testada, en atención a que se</w:t>
      </w:r>
      <w:r w:rsidRPr="004E3E94">
        <w:rPr>
          <w:rFonts w:ascii="Palatino Linotype" w:eastAsia="Calibri" w:hAnsi="Palatino Linotype" w:cs="Arial"/>
          <w:color w:val="000000" w:themeColor="text1"/>
          <w:sz w:val="24"/>
          <w:szCs w:val="24"/>
          <w:lang w:val="es-ES"/>
        </w:rPr>
        <w:t xml:space="preserve"> estaría violentando entre otros el derecho a la propia imagen que tiene </w:t>
      </w:r>
      <w:r>
        <w:rPr>
          <w:rFonts w:ascii="Palatino Linotype" w:eastAsia="Calibri" w:hAnsi="Palatino Linotype" w:cs="Arial"/>
          <w:color w:val="000000" w:themeColor="text1"/>
          <w:sz w:val="24"/>
          <w:szCs w:val="24"/>
          <w:lang w:val="es-ES"/>
        </w:rPr>
        <w:t xml:space="preserve">dicha persona, entendiendo éste, como </w:t>
      </w:r>
      <w:r w:rsidRPr="004E3E94">
        <w:rPr>
          <w:rFonts w:ascii="Palatino Linotype" w:eastAsia="Calibri" w:hAnsi="Palatino Linotype" w:cs="Arial"/>
          <w:color w:val="000000" w:themeColor="text1"/>
          <w:sz w:val="24"/>
          <w:szCs w:val="24"/>
          <w:lang w:val="es-ES"/>
        </w:rPr>
        <w:t>un derecho subjetivo y personal exigible frente a todos, particulares y poderes públicos, que otorgar a su titular la facultad de decidir todo lo relativo a la captación, reproducción o publicación de su imagen; debido a que constituyen la reproducción fiel de las características físicas de una persona en un momento determinado, por lo que representan un instrumento de identificación, proyección exterior y factor imprescindible para su propio reconoc</w:t>
      </w:r>
      <w:r w:rsidR="00C12077">
        <w:rPr>
          <w:rFonts w:ascii="Palatino Linotype" w:eastAsia="Calibri" w:hAnsi="Palatino Linotype" w:cs="Arial"/>
          <w:color w:val="000000" w:themeColor="text1"/>
          <w:sz w:val="24"/>
          <w:szCs w:val="24"/>
          <w:lang w:val="es-ES"/>
        </w:rPr>
        <w:t>imiento como sujeto individual.</w:t>
      </w:r>
    </w:p>
    <w:p w:rsidR="004E3E94" w:rsidRPr="004E3E94" w:rsidRDefault="004E3E94" w:rsidP="004E3E94">
      <w:pPr>
        <w:spacing w:before="100" w:beforeAutospacing="1" w:after="100" w:afterAutospacing="1" w:line="360" w:lineRule="auto"/>
        <w:ind w:right="-3"/>
        <w:jc w:val="both"/>
        <w:rPr>
          <w:rFonts w:ascii="Palatino Linotype" w:eastAsia="Calibri" w:hAnsi="Palatino Linotype" w:cs="Arial"/>
          <w:color w:val="000000" w:themeColor="text1"/>
          <w:sz w:val="24"/>
          <w:szCs w:val="24"/>
        </w:rPr>
      </w:pPr>
      <w:r w:rsidRPr="004E3E94">
        <w:rPr>
          <w:rFonts w:ascii="Palatino Linotype" w:eastAsia="Calibri" w:hAnsi="Palatino Linotype" w:cs="Arial"/>
          <w:color w:val="000000" w:themeColor="text1"/>
          <w:sz w:val="24"/>
          <w:szCs w:val="24"/>
          <w:lang w:val="es-ES"/>
        </w:rPr>
        <w:t xml:space="preserve">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la fotografía solo se justifica su publicidad en aquellos casos en los que la misma se reproduce a fin de identificar a una persona en el ejercicio de un cargo, empleo o </w:t>
      </w:r>
      <w:r>
        <w:rPr>
          <w:rFonts w:ascii="Palatino Linotype" w:eastAsia="Calibri" w:hAnsi="Palatino Linotype" w:cs="Arial"/>
          <w:color w:val="000000" w:themeColor="text1"/>
          <w:sz w:val="24"/>
          <w:szCs w:val="24"/>
          <w:lang w:val="es-ES"/>
        </w:rPr>
        <w:t>comisión en el servicio público, no así en otros escenarios.</w:t>
      </w:r>
    </w:p>
    <w:p w:rsidR="004E3E94" w:rsidRPr="004E3E94" w:rsidRDefault="004E3E94" w:rsidP="004E3E94">
      <w:pPr>
        <w:spacing w:before="240" w:after="240" w:line="360" w:lineRule="auto"/>
        <w:jc w:val="both"/>
        <w:rPr>
          <w:rFonts w:ascii="Palatino Linotype" w:eastAsia="Calibri" w:hAnsi="Palatino Linotype" w:cs="Arial"/>
          <w:color w:val="000000" w:themeColor="text1"/>
          <w:sz w:val="24"/>
          <w:szCs w:val="24"/>
        </w:rPr>
      </w:pPr>
      <w:r w:rsidRPr="004E3E94">
        <w:rPr>
          <w:rFonts w:ascii="Palatino Linotype" w:eastAsia="Calibri" w:hAnsi="Palatino Linotype" w:cs="Arial"/>
          <w:color w:val="000000" w:themeColor="text1"/>
          <w:sz w:val="24"/>
          <w:szCs w:val="24"/>
          <w:lang w:val="es-ES"/>
        </w:rPr>
        <w:t>Sirve de sustento el criterio 5/9 del entonces Instituto Federal de Acceso a la Información y Protección de Datos (IFAI), ahora INAI, en el sentido de que la fotografía de servidores públicos en un dato personal confidencial:</w:t>
      </w:r>
    </w:p>
    <w:p w:rsidR="008633C2" w:rsidRPr="00F01BDD" w:rsidRDefault="004E3E94" w:rsidP="00F01BDD">
      <w:pPr>
        <w:spacing w:before="240" w:after="240" w:line="276" w:lineRule="auto"/>
        <w:ind w:left="851" w:right="851"/>
        <w:jc w:val="both"/>
        <w:rPr>
          <w:rFonts w:ascii="Palatino Linotype" w:eastAsia="Calibri" w:hAnsi="Palatino Linotype" w:cs="Arial"/>
          <w:color w:val="000000" w:themeColor="text1"/>
          <w:sz w:val="20"/>
          <w:szCs w:val="24"/>
        </w:rPr>
      </w:pPr>
      <w:r w:rsidRPr="001F0720">
        <w:rPr>
          <w:rFonts w:ascii="Palatino Linotype" w:eastAsia="Calibri" w:hAnsi="Palatino Linotype" w:cs="Arial"/>
          <w:b/>
          <w:bCs/>
          <w:i/>
          <w:iCs/>
          <w:color w:val="000000" w:themeColor="text1"/>
          <w:sz w:val="20"/>
          <w:szCs w:val="24"/>
          <w:lang w:val="es-ES"/>
        </w:rPr>
        <w:lastRenderedPageBreak/>
        <w:t>“FOTOGRAFÍA DE SERVIDORES PÚBLICOS ES UN DATO PERSONAL CONFIDENCIAL. </w:t>
      </w:r>
      <w:r w:rsidRPr="001F0720">
        <w:rPr>
          <w:rFonts w:ascii="Palatino Linotype" w:eastAsia="Calibri" w:hAnsi="Palatino Linotype" w:cs="Arial"/>
          <w:i/>
          <w:iCs/>
          <w:color w:val="000000" w:themeColor="text1"/>
          <w:sz w:val="20"/>
          <w:szCs w:val="24"/>
          <w:lang w:val="es-ES"/>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rsidR="004E3E94" w:rsidRPr="00F01BDD" w:rsidRDefault="004E3E94" w:rsidP="002E5896">
      <w:pPr>
        <w:spacing w:before="240" w:after="240" w:line="360" w:lineRule="auto"/>
        <w:jc w:val="both"/>
        <w:rPr>
          <w:rFonts w:ascii="Palatino Linotype" w:eastAsia="Calibri" w:hAnsi="Palatino Linotype" w:cs="Arial"/>
          <w:color w:val="000000" w:themeColor="text1"/>
          <w:sz w:val="24"/>
          <w:szCs w:val="24"/>
        </w:rPr>
      </w:pPr>
      <w:r w:rsidRPr="000B1348">
        <w:rPr>
          <w:rFonts w:ascii="Palatino Linotype" w:eastAsia="Calibri" w:hAnsi="Palatino Linotype" w:cs="Arial"/>
          <w:color w:val="000000" w:themeColor="text1"/>
          <w:sz w:val="24"/>
          <w:szCs w:val="24"/>
          <w:lang w:val="es-ES"/>
        </w:rPr>
        <w:t>Bajo esta tesitura, se precisa que la fotografía, es un dato personal que debe ser protegido, ya que no contribuye de manera sustancial al derecho de acceso a la información pública, a la trasparencia ni rendición de cuentas, al contrario dicho derecho, tiene una limitante al invadir la esfera jurídica personal y particular de las personas aun y cuando son servidores públicos.</w:t>
      </w:r>
    </w:p>
    <w:p w:rsidR="002E5896" w:rsidRPr="002E5896" w:rsidRDefault="002E5896" w:rsidP="002E5896">
      <w:pPr>
        <w:spacing w:before="240" w:after="240" w:line="360" w:lineRule="auto"/>
        <w:jc w:val="both"/>
        <w:rPr>
          <w:rFonts w:ascii="Palatino Linotype" w:hAnsi="Palatino Linotype"/>
          <w:sz w:val="24"/>
          <w:szCs w:val="24"/>
        </w:rPr>
      </w:pPr>
      <w:r w:rsidRPr="002E5896">
        <w:rPr>
          <w:rFonts w:ascii="Palatino Linotype" w:hAnsi="Palatino Linotype"/>
          <w:sz w:val="24"/>
          <w:szCs w:val="24"/>
        </w:rPr>
        <w:t>Luego entonces</w:t>
      </w:r>
      <w:r w:rsidR="00F01BDD">
        <w:rPr>
          <w:rFonts w:ascii="Palatino Linotype" w:hAnsi="Palatino Linotype"/>
          <w:sz w:val="24"/>
          <w:szCs w:val="24"/>
        </w:rPr>
        <w:t>,</w:t>
      </w:r>
      <w:r w:rsidRPr="002E5896">
        <w:rPr>
          <w:rFonts w:ascii="Palatino Linotype" w:hAnsi="Palatino Linotype"/>
          <w:sz w:val="24"/>
          <w:szCs w:val="24"/>
        </w:rPr>
        <w:t xml:space="preserve"> se puede argumentar que, si bien el certificado de </w:t>
      </w:r>
      <w:r w:rsidR="00F01BDD" w:rsidRPr="002E5896">
        <w:rPr>
          <w:rFonts w:ascii="Palatino Linotype" w:hAnsi="Palatino Linotype"/>
          <w:sz w:val="24"/>
          <w:szCs w:val="24"/>
        </w:rPr>
        <w:t xml:space="preserve">no </w:t>
      </w:r>
      <w:r w:rsidRPr="002E5896">
        <w:rPr>
          <w:rFonts w:ascii="Palatino Linotype" w:hAnsi="Palatino Linotype"/>
          <w:sz w:val="24"/>
          <w:szCs w:val="24"/>
        </w:rPr>
        <w:t xml:space="preserve">antecedentes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w:t>
      </w:r>
      <w:r w:rsidRPr="002E5896">
        <w:rPr>
          <w:rFonts w:ascii="Palatino Linotype" w:hAnsi="Palatino Linotype"/>
          <w:sz w:val="24"/>
          <w:szCs w:val="24"/>
        </w:rPr>
        <w:lastRenderedPageBreak/>
        <w:t xml:space="preserve">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rsidR="002E5896" w:rsidRPr="002E5896" w:rsidRDefault="002E5896" w:rsidP="002E5896">
      <w:pPr>
        <w:spacing w:after="0" w:line="240" w:lineRule="auto"/>
        <w:ind w:left="851" w:right="990"/>
        <w:jc w:val="both"/>
        <w:rPr>
          <w:rFonts w:ascii="Palatino Linotype" w:hAnsi="Palatino Linotype"/>
          <w:i/>
        </w:rPr>
      </w:pPr>
      <w:r w:rsidRPr="002E5896">
        <w:rPr>
          <w:rFonts w:ascii="Palatino Linotype" w:hAnsi="Palatino Linotype"/>
          <w:i/>
        </w:rPr>
        <w:t xml:space="preserve">“… </w:t>
      </w:r>
      <w:r w:rsidRPr="002E5896">
        <w:rPr>
          <w:rFonts w:ascii="Palatino Linotype" w:hAnsi="Palatino Linotype"/>
          <w:b/>
          <w:i/>
        </w:rPr>
        <w:t>la constancia de antecedentes penales es el documento expedido por la autoridad competente para acreditar la existencia o inexistencia de delitos cometidos por los individuos y la condena correspondiente</w:t>
      </w:r>
      <w:r w:rsidRPr="002E5896">
        <w:rPr>
          <w:rFonts w:ascii="Palatino Linotype" w:hAnsi="Palatino Linotype"/>
          <w:i/>
        </w:rPr>
        <w:t xml:space="preserve">, en su caso. </w:t>
      </w:r>
      <w:r w:rsidRPr="002E5896">
        <w:rPr>
          <w:rFonts w:ascii="Palatino Linotype" w:hAnsi="Palatino Linotype"/>
          <w:b/>
          <w:i/>
        </w:rPr>
        <w:t>La certificación corresponde a la policía y tiene importancia para determinar la reincidencia</w:t>
      </w:r>
      <w:r w:rsidRPr="002E5896">
        <w:rPr>
          <w:rFonts w:ascii="Palatino Linotype" w:hAnsi="Palatino Linotype"/>
          <w:i/>
        </w:rPr>
        <w:t xml:space="preserve"> (artículo 20 del Código Penal Federal), la habitualidad (artículo 21 del Código Penal Federal) </w:t>
      </w:r>
      <w:r w:rsidRPr="002E5896">
        <w:rPr>
          <w:rFonts w:ascii="Palatino Linotype" w:hAnsi="Palatino Linotype"/>
          <w:b/>
          <w:i/>
        </w:rPr>
        <w:t>y la posibilidad de caución</w:t>
      </w:r>
      <w:r w:rsidRPr="002E5896">
        <w:rPr>
          <w:rFonts w:ascii="Palatino Linotype" w:hAnsi="Palatino Linotype"/>
          <w:i/>
        </w:rPr>
        <w:t xml:space="preserve"> (artículo 402 del Código Federal de Procedimientos Penales), al respecto se precisa que materia de transparencia y acceso a la información, </w:t>
      </w:r>
      <w:r w:rsidRPr="002E5896">
        <w:rPr>
          <w:rFonts w:ascii="Palatino Linotype" w:hAnsi="Palatino Linotype"/>
          <w:i/>
          <w:u w:val="single"/>
        </w:rPr>
        <w:t>este acto jurídico contiene información confidencial pues se refiere a datos personales de particulares</w:t>
      </w:r>
      <w:r w:rsidRPr="002E5896">
        <w:rPr>
          <w:rFonts w:ascii="Palatino Linotype" w:hAnsi="Palatino Linotype"/>
          <w:i/>
        </w:rPr>
        <w:t xml:space="preserve">. </w:t>
      </w:r>
    </w:p>
    <w:p w:rsidR="002E5896" w:rsidRPr="002E5896" w:rsidRDefault="002E5896" w:rsidP="002E5896">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En este sentido, de acuerdo al artículo 116 de la Ley General de Trasparencia, debe ser clasificado, por regla general, como confidencial, asimismo en el artículo 143 de la Ley de Transparencia y acceso a la Información Pública del Estado de México y Municipios. </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r w:rsidRPr="002E5896">
        <w:rPr>
          <w:rFonts w:ascii="Palatino Linotype" w:hAnsi="Palatino Linotype"/>
          <w:b/>
          <w:i/>
        </w:rPr>
        <w:t>Artículo 116</w:t>
      </w:r>
      <w:r w:rsidRPr="002E5896">
        <w:rPr>
          <w:rFonts w:ascii="Palatino Linotype" w:hAnsi="Palatino Linotype"/>
          <w:i/>
        </w:rPr>
        <w:t>. Se considera información confidencial la que contiene datos personales concernientes a una persona identificada o identificable.”</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lastRenderedPageBreak/>
        <w:t>“</w:t>
      </w:r>
      <w:r w:rsidRPr="002E5896">
        <w:rPr>
          <w:rFonts w:ascii="Palatino Linotype" w:hAnsi="Palatino Linotype"/>
          <w:b/>
          <w:i/>
        </w:rPr>
        <w:t>Artículo 143</w:t>
      </w:r>
      <w:r w:rsidRPr="002E5896">
        <w:rPr>
          <w:rFonts w:ascii="Palatino Linotype" w:hAnsi="Palatino Linotype"/>
          <w:i/>
        </w:rPr>
        <w:t xml:space="preserve">.- Para los efectos de esta ley se considera información confidencial la clasificada como tal, de manera permanente por su naturaleza cuando: </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 xml:space="preserve">Se refiera a la información privada y los datos personales concernientes a una persona física o </w:t>
      </w:r>
      <w:proofErr w:type="gramStart"/>
      <w:r w:rsidRPr="002E5896">
        <w:rPr>
          <w:rFonts w:ascii="Palatino Linotype" w:hAnsi="Palatino Linotype"/>
          <w:i/>
        </w:rPr>
        <w:t>jurídico</w:t>
      </w:r>
      <w:proofErr w:type="gramEnd"/>
      <w:r w:rsidRPr="002E5896">
        <w:rPr>
          <w:rFonts w:ascii="Palatino Linotype" w:hAnsi="Palatino Linotype"/>
          <w:i/>
        </w:rPr>
        <w:t xml:space="preserve"> colectiva identificada o identificable.</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p>
    <w:p w:rsidR="001009B3" w:rsidRPr="008633C2" w:rsidRDefault="002E5896" w:rsidP="008633C2">
      <w:pPr>
        <w:spacing w:before="240" w:after="240" w:line="360" w:lineRule="auto"/>
        <w:jc w:val="both"/>
        <w:rPr>
          <w:rFonts w:ascii="Palatino Linotype" w:hAnsi="Palatino Linotype"/>
          <w:sz w:val="24"/>
          <w:szCs w:val="24"/>
        </w:rPr>
      </w:pPr>
      <w:r w:rsidRPr="002E5896">
        <w:rPr>
          <w:rFonts w:ascii="Palatino Linotype" w:hAnsi="Palatino Linotype"/>
          <w:sz w:val="24"/>
          <w:szCs w:val="24"/>
        </w:rPr>
        <w:t>Situación por lo que debe considerarse información confidencial en términos de los artículos 143, fracción I de la Ley de Transparencia del Estado de México y Municipios y 4, fracciones VII y VIII de la Ley de Protección de Datos Personales del Estado de México.</w:t>
      </w:r>
    </w:p>
    <w:p w:rsidR="00227985" w:rsidRPr="008633C2" w:rsidRDefault="00227985" w:rsidP="00227985">
      <w:pPr>
        <w:spacing w:before="240" w:after="0" w:line="360" w:lineRule="auto"/>
        <w:jc w:val="both"/>
        <w:rPr>
          <w:rFonts w:ascii="Palatino Linotype" w:hAnsi="Palatino Linotype" w:cs="Arial"/>
          <w:sz w:val="24"/>
          <w:szCs w:val="24"/>
        </w:rPr>
      </w:pPr>
      <w:r w:rsidRPr="008633C2">
        <w:rPr>
          <w:rFonts w:ascii="Palatino Linotype" w:hAnsi="Palatino Linotype" w:cs="Arial"/>
          <w:sz w:val="24"/>
          <w:szCs w:val="24"/>
        </w:rPr>
        <w:t xml:space="preserve">Por todo lo expuesto es que formulo </w:t>
      </w:r>
      <w:r w:rsidR="004B46EA">
        <w:rPr>
          <w:rFonts w:ascii="Palatino Linotype" w:hAnsi="Palatino Linotype" w:cs="Arial"/>
          <w:sz w:val="24"/>
          <w:szCs w:val="24"/>
        </w:rPr>
        <w:t>la presente opinión</w:t>
      </w:r>
      <w:r w:rsidRPr="008633C2">
        <w:rPr>
          <w:rFonts w:ascii="Palatino Linotype" w:hAnsi="Palatino Linotype" w:cs="Arial"/>
          <w:sz w:val="24"/>
          <w:szCs w:val="24"/>
        </w:rPr>
        <w:t xml:space="preserve"> particular, en los términos precisados, teniendo las consideraciones aquí expuestas hubieran resultado importantes para </w:t>
      </w:r>
      <w:r w:rsidR="00E555F0" w:rsidRPr="008633C2">
        <w:rPr>
          <w:rFonts w:ascii="Palatino Linotype" w:hAnsi="Palatino Linotype" w:cs="Arial"/>
          <w:sz w:val="24"/>
          <w:szCs w:val="24"/>
        </w:rPr>
        <w:t>resolver el recurso de revisión.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1F0720" w:rsidTr="00C50BB6">
        <w:trPr>
          <w:trHeight w:val="809"/>
          <w:jc w:val="center"/>
        </w:trPr>
        <w:tc>
          <w:tcPr>
            <w:tcW w:w="4396" w:type="dxa"/>
          </w:tcPr>
          <w:p w:rsidR="00227985" w:rsidRPr="0087546B" w:rsidRDefault="00227985"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Javier Martínez Cruz</w:t>
            </w:r>
          </w:p>
        </w:tc>
      </w:tr>
      <w:tr w:rsidR="00227985" w:rsidRPr="001F0720" w:rsidTr="00C50BB6">
        <w:trPr>
          <w:trHeight w:val="319"/>
          <w:jc w:val="center"/>
        </w:trPr>
        <w:tc>
          <w:tcPr>
            <w:tcW w:w="4396" w:type="dxa"/>
          </w:tcPr>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Comisionado</w:t>
            </w:r>
          </w:p>
          <w:p w:rsidR="00DF658A" w:rsidRPr="0087546B" w:rsidRDefault="00DF658A" w:rsidP="00C50BB6">
            <w:pPr>
              <w:jc w:val="center"/>
              <w:rPr>
                <w:rFonts w:ascii="Palatino Linotype" w:hAnsi="Palatino Linotype"/>
                <w:b/>
                <w:sz w:val="24"/>
                <w:szCs w:val="24"/>
              </w:rPr>
            </w:pPr>
            <w:bookmarkStart w:id="2" w:name="_GoBack"/>
            <w:bookmarkEnd w:id="2"/>
          </w:p>
          <w:p w:rsidR="00227985" w:rsidRPr="0087546B" w:rsidRDefault="00227985" w:rsidP="0059780A">
            <w:pPr>
              <w:rPr>
                <w:rFonts w:ascii="Palatino Linotype" w:hAnsi="Palatino Linotype"/>
                <w:sz w:val="24"/>
                <w:szCs w:val="24"/>
              </w:rPr>
            </w:pPr>
          </w:p>
        </w:tc>
      </w:tr>
    </w:tbl>
    <w:p w:rsidR="00247AFA" w:rsidRPr="001F0720" w:rsidRDefault="00247AFA" w:rsidP="0059780A">
      <w:pPr>
        <w:rPr>
          <w:szCs w:val="24"/>
        </w:rPr>
      </w:pPr>
    </w:p>
    <w:sectPr w:rsidR="00247AFA" w:rsidRPr="001F07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75" w:rsidRDefault="00A96C75" w:rsidP="00247AFA">
      <w:pPr>
        <w:spacing w:after="0" w:line="240" w:lineRule="auto"/>
      </w:pPr>
      <w:r>
        <w:separator/>
      </w:r>
    </w:p>
  </w:endnote>
  <w:endnote w:type="continuationSeparator" w:id="0">
    <w:p w:rsidR="00A96C75" w:rsidRDefault="00A96C75"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4B46EA">
      <w:rPr>
        <w:rFonts w:ascii="Arial" w:eastAsia="Calibri" w:hAnsi="Arial" w:cs="Arial"/>
        <w:b/>
        <w:bCs/>
        <w:noProof/>
        <w:sz w:val="20"/>
        <w:szCs w:val="20"/>
        <w:lang w:val="es-ES" w:eastAsia="es-ES"/>
      </w:rPr>
      <w:t>8</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4B46EA">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75" w:rsidRDefault="00A96C75" w:rsidP="00247AFA">
      <w:pPr>
        <w:spacing w:after="0" w:line="240" w:lineRule="auto"/>
      </w:pPr>
      <w:r>
        <w:separator/>
      </w:r>
    </w:p>
  </w:footnote>
  <w:footnote w:type="continuationSeparator" w:id="0">
    <w:p w:rsidR="00A96C75" w:rsidRDefault="00A96C75" w:rsidP="00247AFA">
      <w:pPr>
        <w:spacing w:after="0" w:line="240" w:lineRule="auto"/>
      </w:pPr>
      <w:r>
        <w:continuationSeparator/>
      </w:r>
    </w:p>
  </w:footnote>
  <w:footnote w:id="1">
    <w:p w:rsidR="006F1764" w:rsidRDefault="006F1764" w:rsidP="006F1764">
      <w:pPr>
        <w:pStyle w:val="Textonotapie"/>
        <w:jc w:val="both"/>
      </w:pPr>
      <w:r>
        <w:rPr>
          <w:rStyle w:val="Refdenotaalpie"/>
        </w:rPr>
        <w:footnoteRef/>
      </w:r>
      <w:r>
        <w:t xml:space="preserve"> </w:t>
      </w:r>
      <w:r w:rsidRPr="00CF41AE">
        <w:rPr>
          <w:rFonts w:ascii="Palatino Linotype" w:hAnsi="Palatino Linotype"/>
          <w:sz w:val="18"/>
        </w:rPr>
        <w:t>Información consultable en la Resolución 0689/17 emitida por el Instituto Nacional de Transparencia, Acceso a la Información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A96C75"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1009B3">
      <w:rPr>
        <w:rFonts w:ascii="Palatino Linotype" w:hAnsi="Palatino Linotype"/>
        <w:b/>
      </w:rPr>
      <w:t xml:space="preserve">OPINIÓN </w:t>
    </w:r>
    <w:r w:rsidR="00247AFA" w:rsidRPr="00FD1289">
      <w:rPr>
        <w:rFonts w:ascii="Palatino Linotype" w:hAnsi="Palatino Linotype"/>
        <w:b/>
        <w:sz w:val="24"/>
        <w:szCs w:val="24"/>
      </w:rPr>
      <w:t>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1009B3">
      <w:rPr>
        <w:rFonts w:ascii="Palatino Linotype" w:hAnsi="Palatino Linotype" w:cs="Arial"/>
        <w:b/>
        <w:bCs/>
        <w:sz w:val="24"/>
        <w:szCs w:val="24"/>
        <w:lang w:eastAsia="es-MX"/>
      </w:rPr>
      <w:t>02851</w:t>
    </w:r>
    <w:r w:rsidR="00676AA1">
      <w:rPr>
        <w:rFonts w:ascii="Palatino Linotype" w:hAnsi="Palatino Linotype" w:cs="Arial"/>
        <w:b/>
        <w:bCs/>
        <w:sz w:val="24"/>
        <w:szCs w:val="24"/>
        <w:lang w:eastAsia="es-MX"/>
      </w:rPr>
      <w:t>/INFOEM/IP/RR/2018</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4E432927"/>
    <w:multiLevelType w:val="hybridMultilevel"/>
    <w:tmpl w:val="83DC2F5A"/>
    <w:lvl w:ilvl="0" w:tplc="E35282FC">
      <w:start w:val="1"/>
      <w:numFmt w:val="upp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15:restartNumberingAfterBreak="0">
    <w:nsid w:val="77682982"/>
    <w:multiLevelType w:val="hybridMultilevel"/>
    <w:tmpl w:val="43EE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67249"/>
    <w:rsid w:val="000953DB"/>
    <w:rsid w:val="000A0233"/>
    <w:rsid w:val="000B1348"/>
    <w:rsid w:val="001009B3"/>
    <w:rsid w:val="00135DC4"/>
    <w:rsid w:val="0015436A"/>
    <w:rsid w:val="001D7F8C"/>
    <w:rsid w:val="001F0720"/>
    <w:rsid w:val="00205EAE"/>
    <w:rsid w:val="00227985"/>
    <w:rsid w:val="00247AFA"/>
    <w:rsid w:val="00290B8C"/>
    <w:rsid w:val="002E5896"/>
    <w:rsid w:val="002E71A8"/>
    <w:rsid w:val="00320195"/>
    <w:rsid w:val="003263BA"/>
    <w:rsid w:val="00327CA0"/>
    <w:rsid w:val="00330E2B"/>
    <w:rsid w:val="00333FB3"/>
    <w:rsid w:val="00345E52"/>
    <w:rsid w:val="00365C9A"/>
    <w:rsid w:val="003F1069"/>
    <w:rsid w:val="00494872"/>
    <w:rsid w:val="004B07A8"/>
    <w:rsid w:val="004B46EA"/>
    <w:rsid w:val="004D1CAC"/>
    <w:rsid w:val="004E3E94"/>
    <w:rsid w:val="00515607"/>
    <w:rsid w:val="00563AE5"/>
    <w:rsid w:val="00581A89"/>
    <w:rsid w:val="0059780A"/>
    <w:rsid w:val="005F1255"/>
    <w:rsid w:val="00600BA3"/>
    <w:rsid w:val="00641437"/>
    <w:rsid w:val="00642384"/>
    <w:rsid w:val="00661191"/>
    <w:rsid w:val="00665FB4"/>
    <w:rsid w:val="00676AA1"/>
    <w:rsid w:val="00696583"/>
    <w:rsid w:val="006E3920"/>
    <w:rsid w:val="006F1764"/>
    <w:rsid w:val="007529BE"/>
    <w:rsid w:val="007D3ACA"/>
    <w:rsid w:val="008030EC"/>
    <w:rsid w:val="0085185A"/>
    <w:rsid w:val="008633C2"/>
    <w:rsid w:val="0087546B"/>
    <w:rsid w:val="008C096B"/>
    <w:rsid w:val="008D7440"/>
    <w:rsid w:val="008E6B30"/>
    <w:rsid w:val="009472B6"/>
    <w:rsid w:val="009D3E65"/>
    <w:rsid w:val="00A003D8"/>
    <w:rsid w:val="00A275AD"/>
    <w:rsid w:val="00A645F0"/>
    <w:rsid w:val="00A658A2"/>
    <w:rsid w:val="00A96C75"/>
    <w:rsid w:val="00B65B8E"/>
    <w:rsid w:val="00BC44E5"/>
    <w:rsid w:val="00BF0F61"/>
    <w:rsid w:val="00C06F10"/>
    <w:rsid w:val="00C12077"/>
    <w:rsid w:val="00C20EEA"/>
    <w:rsid w:val="00CC313E"/>
    <w:rsid w:val="00CC3F5C"/>
    <w:rsid w:val="00CE3748"/>
    <w:rsid w:val="00CF41AE"/>
    <w:rsid w:val="00D645C9"/>
    <w:rsid w:val="00D6696F"/>
    <w:rsid w:val="00D7719B"/>
    <w:rsid w:val="00DA7071"/>
    <w:rsid w:val="00DB6D11"/>
    <w:rsid w:val="00DF658A"/>
    <w:rsid w:val="00E23BCA"/>
    <w:rsid w:val="00E555F0"/>
    <w:rsid w:val="00F01BDD"/>
    <w:rsid w:val="00F17720"/>
    <w:rsid w:val="00F370A8"/>
    <w:rsid w:val="00F4125F"/>
    <w:rsid w:val="00F53D42"/>
    <w:rsid w:val="00F572A9"/>
    <w:rsid w:val="00F7442A"/>
    <w:rsid w:val="00FD1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basedOn w:val="Normal"/>
    <w:link w:val="TextonotapieCar"/>
    <w:uiPriority w:val="99"/>
    <w:semiHidden/>
    <w:unhideWhenUsed/>
    <w:rsid w:val="00665F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571579926">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 w:id="17905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640B-C9DE-49C5-9CA4-032A047B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2221</Words>
  <Characters>12218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2018-10-30T15:59:00Z</cp:lastPrinted>
  <dcterms:created xsi:type="dcterms:W3CDTF">2018-10-23T00:48:00Z</dcterms:created>
  <dcterms:modified xsi:type="dcterms:W3CDTF">2018-10-30T15:59:00Z</dcterms:modified>
</cp:coreProperties>
</file>